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B2" w:rsidRDefault="00D728B2" w:rsidP="00D728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D728B2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В Кыргызстане применяется метод сохранения конечностей при опухолях костей. </w:t>
      </w:r>
      <w:proofErr w:type="spellStart"/>
      <w:r w:rsidRPr="00D728B2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Доклад</w:t>
      </w:r>
      <w:proofErr w:type="spellEnd"/>
    </w:p>
    <w:p w:rsidR="00D728B2" w:rsidRDefault="00D728B2" w:rsidP="00D728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D728B2" w:rsidRDefault="00D728B2" w:rsidP="00D728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6152515" cy="461454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🦴-3–4-июля-в-Бишкеке-состоялась-научно-практическая-конференция-Актуальные-вопросы-детской-тра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B2" w:rsidRPr="00D728B2" w:rsidRDefault="00D728B2" w:rsidP="00D728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p w:rsidR="00D728B2" w:rsidRPr="00D728B2" w:rsidRDefault="00D728B2" w:rsidP="00D728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r w:rsidRPr="00D728B2">
        <w:rPr>
          <w:rFonts w:ascii="Tahoma" w:eastAsia="Times New Roman" w:hAnsi="Tahoma" w:cs="Tahoma"/>
          <w:noProof/>
          <w:color w:val="111111"/>
          <w:sz w:val="21"/>
          <w:szCs w:val="21"/>
        </w:rPr>
        <w:lastRenderedPageBreak/>
        <w:drawing>
          <wp:inline distT="0" distB="0" distL="0" distR="0">
            <wp:extent cx="9334500" cy="5245100"/>
            <wp:effectExtent l="0" t="0" r="0" b="0"/>
            <wp:docPr id="1" name="Рисунок 1" descr="https://cdn-0.aki.kg/cdn-st-0/qga/7/3396476.0f8fb7dc202b4c5031e1cd9a8bdbb5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.aki.kg/cdn-st-0/qga/7/3396476.0f8fb7dc202b4c5031e1cd9a8bdbb5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b/>
          <w:bCs/>
          <w:color w:val="111111"/>
          <w:sz w:val="24"/>
          <w:szCs w:val="24"/>
        </w:rPr>
        <w:t> 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В КГМА 4 июля состоялась научно-практическая конференция «Актуальные вопросы детской травматологии и ортопедии», посвященная 90-летию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hyperlink r:id="rId7" w:history="1">
        <w:proofErr w:type="spellStart"/>
        <w:r w:rsidRPr="00D728B2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Касымбека</w:t>
        </w:r>
        <w:proofErr w:type="spellEnd"/>
        <w:r w:rsidRPr="00D728B2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D728B2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Тазабекова</w:t>
        </w:r>
        <w:proofErr w:type="spellEnd"/>
      </w:hyperlink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— первого кандидата медицинских наук и основоположника детской ортопедии в Кыргызстане.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>Д</w:t>
      </w:r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иректор Национального центра травматологии и ортопедии, зав. кафедрой травматологии, ортопедии и ЭХ КГМА имени И.К. </w:t>
      </w:r>
      <w:proofErr w:type="spellStart"/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>Ахунбаева</w:t>
      </w:r>
      <w:proofErr w:type="spellEnd"/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, Президент </w:t>
      </w:r>
      <w:proofErr w:type="spellStart"/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>Кыргызской</w:t>
      </w:r>
      <w:proofErr w:type="spellEnd"/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 ассоциации травматолог-ортопедов,</w:t>
      </w:r>
      <w:r w:rsidRPr="00EB6C05"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 академик</w:t>
      </w:r>
      <w:r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 НАН КР и РАН, д.м.н., профессор -</w:t>
      </w:r>
      <w:r w:rsidRPr="00EB6C05"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B6C05"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>Сабырбек</w:t>
      </w:r>
      <w:proofErr w:type="spellEnd"/>
      <w:r w:rsidRPr="00EB6C05"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B6C05">
        <w:rPr>
          <w:rFonts w:ascii="Times New Roman" w:hAnsi="Times New Roman" w:cs="Times New Roman"/>
          <w:color w:val="364151"/>
          <w:sz w:val="24"/>
          <w:szCs w:val="24"/>
          <w:shd w:val="clear" w:color="auto" w:fill="FFFFFF"/>
          <w:lang w:val="ru-RU"/>
        </w:rPr>
        <w:t>Джумабеков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выступил с докладом «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Бесцементное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модульное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эндопротезирование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при опухолях крупных суставов и костей нижней конечности». В своем выступлении он отметил отсутствие специализированного отделения по лечению этой патологии, из-за чего пациентов направляют именно в их центр.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Частота первичных опухолей костей не превышает 1% от всех злокачественных новообразований. Заболеваемость составляет 1 случай на 100 тыс. мужчин и 0,6-0,7 на 100 тыс. женщин.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По данным американских канцер-регистров, наиболее распространёнными являются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остеосаркома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(33–35%),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хондросаркома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(26–28%) и опухоль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Юинга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(17–20%). Другие 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 xml:space="preserve">опухоли —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хордома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,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фибросаркома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,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гистиоцитома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, гигантоклеточная опухоль и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ангиосаркома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встречаются значительно реже.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Доброкачественные опухоли костей диагностируются в 2,5 раза реже. Чаще поражаются длинные трубчатые кости и кости таза преимущественно у молодого и среднего возраста.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Этиология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и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патогенез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таких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опухолей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до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конца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не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изучены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Вторичные опухоли возникают вследствие малигнизации костно-хрящевого экзостоза, множественного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хондроматоза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, деформирующего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остеоза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и других заболеваний — пациентов с этими патологиями относят к группе риска.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Метастазы в кости наиболее часто дают рак молочной железы, предстательной железы, легких и почек. По статистике, до 70% больных раком предстательной железы и до 30-40% пациентов с раком молочной железы в поздних стадиях имеют костные метастазы.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Джумабеков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добавил, что в последние годы в Кыргызстане значительно расширились возможности лечения опухолей костей и суставов с применением высокотехнологичных методов. Одним из них является онкологическое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бесцементное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модульное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эндопротезирование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— операция, которая позволяет сохранить подвижность конечностей и повысить качество жизни пациентов с доброкачественными и злокачественными новообразованиями.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С 2019 по 2024 год в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Бишкекском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научно-исследовательском центре травматологии и ортопедии [ныне Клиническая больница скорой медицинской помощи] проведено 48 подобных операций.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Пациенты были разделены на две группы: 35 человек с доброкачественными опухолями (остеома, хондрома и др.) и 23 пациента с злокачественными (в том числе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остеосаркома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и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хондросаркома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). Перед операцией при необходимости проводились курсы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химио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- и лучевой терапии.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В ходе операций применялись модульные протезы, которые позволяют индивидуально подбирать конструкцию с учетом анатомии пациента и объема поражения. Все вмешательства сопровождались профилактикой инфекционных осложнений.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Через 24 месяца наблюдения отмечено значительное улучшение функционального состояния и снижение болевого синдрома.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У пациентов с доброкачественными опухолями средний показатель по шкале 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MSTS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составил 85%, уровень боли по шкале 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VAS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снизился с 7,2 до 1,5, качество жизни улучшилось на 75% по шкале 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SF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-36.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У больных со злокачественными опухолями показатель 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MSTS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достиг 72%, боль по шкале 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</w:rPr>
        <w:t>VAS</w:t>
      </w:r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снизилась с 8,0 до 2,0, качество жизни повысилось на 60%.</w:t>
      </w:r>
    </w:p>
    <w:p w:rsidR="00D728B2" w:rsidRPr="00D728B2" w:rsidRDefault="00D728B2" w:rsidP="00D728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Джумабеков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добавил, что метод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бесцементного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модульного </w:t>
      </w:r>
      <w:proofErr w:type="spellStart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эндопротезирования</w:t>
      </w:r>
      <w:proofErr w:type="spellEnd"/>
      <w:r w:rsidRPr="00D728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демонстрирует хорошие клинические и функциональные результаты, позволяя сохранять конечность и возвращать пациентов к привычному образу жизни.</w:t>
      </w:r>
    </w:p>
    <w:p w:rsidR="00D90D7D" w:rsidRPr="00D728B2" w:rsidRDefault="00D90D7D">
      <w:pPr>
        <w:rPr>
          <w:lang w:val="ru-RU"/>
        </w:rPr>
      </w:pPr>
    </w:p>
    <w:sectPr w:rsidR="00D90D7D" w:rsidRPr="00D728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5B66"/>
    <w:multiLevelType w:val="multilevel"/>
    <w:tmpl w:val="464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B2"/>
    <w:rsid w:val="00D728B2"/>
    <w:rsid w:val="00D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E331"/>
  <w15:chartTrackingRefBased/>
  <w15:docId w15:val="{C7BE30A4-B04F-42CE-8D8B-4A8D6E6A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8B2"/>
    <w:rPr>
      <w:color w:val="0000FF"/>
      <w:u w:val="single"/>
    </w:rPr>
  </w:style>
  <w:style w:type="character" w:customStyle="1" w:styleId="newstranslate">
    <w:name w:val="news_translate"/>
    <w:basedOn w:val="a0"/>
    <w:rsid w:val="00D728B2"/>
  </w:style>
  <w:style w:type="paragraph" w:styleId="a4">
    <w:name w:val="Normal (Web)"/>
    <w:basedOn w:val="a"/>
    <w:uiPriority w:val="99"/>
    <w:semiHidden/>
    <w:unhideWhenUsed/>
    <w:rsid w:val="00D7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44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9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ho.ca-news.org/people:18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</dc:creator>
  <cp:keywords/>
  <dc:description/>
  <cp:lastModifiedBy>Бексултан</cp:lastModifiedBy>
  <cp:revision>1</cp:revision>
  <dcterms:created xsi:type="dcterms:W3CDTF">2025-07-23T18:30:00Z</dcterms:created>
  <dcterms:modified xsi:type="dcterms:W3CDTF">2025-07-23T18:33:00Z</dcterms:modified>
</cp:coreProperties>
</file>